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color w:val="222222"/>
          <w:highlight w:val="none"/>
        </w:rPr>
      </w:r>
      <w:r>
        <w:rPr>
          <w:color w:val="222222"/>
          <w:highlight w:val="none"/>
        </w:rPr>
      </w:r>
    </w:p>
    <w:p>
      <w:pPr>
        <w:jc w:val="center"/>
        <w:rPr>
          <w:color w:val="222222"/>
          <w:highlight w:val="none"/>
        </w:rPr>
      </w:pPr>
      <w:r>
        <w:rPr>
          <w:color w:val="222222"/>
          <w:highlight w:val="none"/>
        </w:rPr>
      </w:r>
      <w:r>
        <w:rPr>
          <w:color w:val="222222"/>
          <w:highlight w:val="none"/>
        </w:rPr>
      </w:r>
    </w:p>
    <w:p>
      <w:pPr>
        <w:jc w:val="center"/>
        <w:rPr>
          <w:color w:val="222222"/>
          <w:highlight w:val="none"/>
        </w:rPr>
      </w:pPr>
      <w:r>
        <w:rPr>
          <w:color w:val="2222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4550" cy="1009650"/>
                <wp:effectExtent l="0" t="0" r="0" b="0"/>
                <wp:docPr id="1" name="Рисунок 1" descr="cid:image001.png@01D48599.C977D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1.png@01D48599.C977D0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11455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6.50pt;height:79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b/>
        </w:rPr>
      </w:pPr>
      <w:r>
        <w:rPr>
          <w:b/>
        </w:rPr>
        <w:t xml:space="preserve">Российский национальный комитет СИГРЭ (РНК СИГРЭ)</w:t>
      </w:r>
      <w:r>
        <w:rPr>
          <w:b/>
        </w:rPr>
      </w:r>
      <w:r>
        <w:rPr>
          <w:b/>
        </w:rPr>
      </w:r>
    </w:p>
    <w:p>
      <w:pPr>
        <w:rPr>
          <w:sz w:val="6"/>
          <w:szCs w:val="32"/>
        </w:rPr>
        <w:pBdr>
          <w:bottom w:val="single" w:color="000000" w:sz="12" w:space="1"/>
        </w:pBdr>
      </w:pPr>
      <w:r>
        <w:rPr>
          <w:sz w:val="6"/>
          <w:szCs w:val="32"/>
        </w:rPr>
      </w:r>
      <w:r>
        <w:rPr>
          <w:sz w:val="6"/>
          <w:szCs w:val="32"/>
        </w:rPr>
      </w:r>
      <w:r>
        <w:rPr>
          <w:sz w:val="6"/>
          <w:szCs w:val="32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Россия, 121353, г. Москва, ул. Беловежская, д. 4. ОГРН 1037704033817.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  <w:lang w:val="es-ES_tradnl"/>
        </w:rPr>
      </w:pPr>
      <w:r>
        <w:rPr>
          <w:sz w:val="20"/>
          <w:szCs w:val="20"/>
        </w:rPr>
        <w:t xml:space="preserve">ИНН 7704266666 / КПП 773101001. Веб-сайт: www.cigre.ru. E-</w:t>
      </w:r>
      <w:r>
        <w:rPr>
          <w:sz w:val="20"/>
          <w:szCs w:val="20"/>
        </w:rPr>
        <w:t xml:space="preserve">mail</w:t>
      </w:r>
      <w:r>
        <w:rPr>
          <w:sz w:val="20"/>
          <w:szCs w:val="20"/>
        </w:rPr>
        <w:t xml:space="preserve">: cigre@cigre.ru</w:t>
      </w:r>
      <w:r>
        <w:rPr>
          <w:sz w:val="20"/>
          <w:szCs w:val="20"/>
          <w:lang w:val="es-ES_tradnl"/>
        </w:rPr>
      </w:r>
      <w:r>
        <w:rPr>
          <w:sz w:val="20"/>
          <w:szCs w:val="20"/>
          <w:lang w:val="es-ES_tradnl"/>
        </w:rPr>
      </w:r>
    </w:p>
    <w:p>
      <w:pPr>
        <w:ind w:left="5954"/>
        <w:jc w:val="both"/>
        <w:rPr>
          <w:b/>
          <w:szCs w:val="28"/>
          <w:lang w:val="es-ES_tradnl"/>
        </w:rPr>
      </w:pPr>
      <w:r>
        <w:rPr>
          <w:b/>
          <w:szCs w:val="28"/>
          <w:lang w:val="es-ES_tradnl"/>
        </w:rPr>
      </w:r>
      <w:r>
        <w:rPr>
          <w:b/>
          <w:szCs w:val="28"/>
          <w:lang w:val="es-ES_tradnl"/>
        </w:rPr>
      </w:r>
      <w:r>
        <w:rPr>
          <w:b/>
          <w:szCs w:val="28"/>
          <w:lang w:val="es-ES_tradnl"/>
        </w:rPr>
      </w:r>
    </w:p>
    <w:p>
      <w:pPr>
        <w:ind w:left="5954"/>
        <w:jc w:val="both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tbl>
      <w:tblPr>
        <w:tblW w:w="2796" w:type="pct"/>
        <w:tblInd w:w="4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02"/>
        <w:gridCol w:w="3130"/>
      </w:tblGrid>
      <w:tr>
        <w:tblPrEx/>
        <w:trPr/>
        <w:tc>
          <w:tcPr>
            <w:tcW w:w="2119" w:type="pct"/>
            <w:textDirection w:val="lrTb"/>
            <w:noWrap w:val="false"/>
          </w:tcPr>
          <w:p>
            <w:pPr>
              <w:rPr>
                <w:b/>
                <w:szCs w:val="28"/>
                <w:lang w:val="es-ES_tradnl"/>
              </w:rPr>
            </w:pPr>
            <w:r>
              <w:rPr>
                <w:b/>
                <w:szCs w:val="28"/>
              </w:rPr>
              <w:t xml:space="preserve">Регистрационный</w:t>
            </w:r>
            <w:r>
              <w:rPr>
                <w:b/>
                <w:szCs w:val="28"/>
                <w:lang w:val="es-ES_tradnl"/>
              </w:rPr>
              <w:t xml:space="preserve"> </w:t>
            </w:r>
            <w:r>
              <w:rPr>
                <w:b/>
                <w:szCs w:val="28"/>
              </w:rPr>
              <w:t xml:space="preserve">номер бюллетеня</w:t>
            </w:r>
            <w:r>
              <w:rPr>
                <w:b/>
                <w:szCs w:val="28"/>
                <w:lang w:val="es-ES_tradnl"/>
              </w:rPr>
            </w:r>
            <w:r>
              <w:rPr>
                <w:b/>
                <w:szCs w:val="28"/>
                <w:lang w:val="es-ES_tradnl"/>
              </w:rPr>
            </w:r>
          </w:p>
        </w:tc>
        <w:tc>
          <w:tcPr>
            <w:tcW w:w="2881" w:type="pct"/>
            <w:textDirection w:val="lrTb"/>
            <w:noWrap w:val="false"/>
          </w:tcPr>
          <w:p>
            <w:pPr>
              <w:rPr>
                <w:b/>
                <w:szCs w:val="28"/>
                <w:lang w:val="es-ES_tradnl"/>
              </w:rPr>
            </w:pPr>
            <w:r>
              <w:rPr>
                <w:b/>
                <w:szCs w:val="28"/>
                <w:lang w:val="es-ES_tradnl"/>
              </w:rPr>
            </w:r>
            <w:r>
              <w:rPr>
                <w:b/>
                <w:szCs w:val="28"/>
                <w:lang w:val="es-ES_tradnl"/>
              </w:rPr>
            </w:r>
            <w:r>
              <w:rPr>
                <w:b/>
                <w:szCs w:val="28"/>
                <w:lang w:val="es-ES_tradnl"/>
              </w:rPr>
            </w:r>
          </w:p>
        </w:tc>
      </w:tr>
    </w:tbl>
    <w:p>
      <w:pPr>
        <w:jc w:val="right"/>
        <w:rPr>
          <w:i/>
          <w:szCs w:val="28"/>
        </w:rPr>
      </w:pPr>
      <w:r>
        <w:rPr>
          <w:i/>
          <w:szCs w:val="28"/>
        </w:rPr>
        <w:t xml:space="preserve">  (заполняется Исполнительной дирекцией РНК СИГРЭ)</w:t>
      </w:r>
      <w:r>
        <w:rPr>
          <w:i/>
          <w:szCs w:val="28"/>
        </w:rPr>
      </w:r>
      <w:r>
        <w:rPr>
          <w:i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jc w:val="center"/>
        <w:spacing w:before="57" w:before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БЮЛЛЕТЕНЬ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before="57" w:before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голосования по вопросу повестки дня Общего собрания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before="57" w:before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(XXV-й Ассамблеи) РНК СИГРЭ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00"/>
        <w:gridCol w:w="701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0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проведения: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10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Голосование членов РНК СИГРЭ в соответствии </w:t>
            </w:r>
            <w:r>
              <w:rPr>
                <w:sz w:val="28"/>
                <w:szCs w:val="28"/>
              </w:rPr>
              <w:br/>
              <w:t xml:space="preserve">с повесткой дня (опросным путем)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0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и время проведения: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10" w:type="pct"/>
            <w:vAlign w:val="center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 xml:space="preserve">16:00 </w:t>
            </w:r>
            <w:r>
              <w:rPr>
                <w:sz w:val="28"/>
                <w:szCs w:val="28"/>
              </w:rPr>
              <w:t xml:space="preserve">(по московскому времени)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 w:type="textWrapping" w:clear="all"/>
            </w: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  <w:t xml:space="preserve">9</w:t>
            </w:r>
            <w:r>
              <w:rPr>
                <w:b/>
                <w:sz w:val="28"/>
                <w:szCs w:val="28"/>
              </w:rPr>
              <w:t xml:space="preserve"> декабря 2025 года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571"/>
        <w:gridCol w:w="5143"/>
      </w:tblGrid>
      <w:tr>
        <w:tblPrEx/>
        <w:trPr>
          <w:trHeight w:val="1234"/>
        </w:trPr>
        <w:tc>
          <w:tcPr>
            <w:tcW w:w="2353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либо наименование члена РНК СИГРЭ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(в случае Коллективного члена)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7" w:type="pct"/>
            <w:textDirection w:val="lrTb"/>
            <w:noWrap w:val="false"/>
          </w:tcPr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-ES_tradnl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-ES_tradnl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-ES_tradnl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-ES_tradnl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2353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Членский номер СИГРЭ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7" w:type="pct"/>
            <w:textDirection w:val="lrTb"/>
            <w:noWrap w:val="false"/>
          </w:tcPr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-ES_tradnl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99"/>
        </w:trPr>
        <w:tc>
          <w:tcPr>
            <w:tcW w:w="2353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принадлежащих голосов при голосовании на собрании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7" w:type="pct"/>
            <w:textDirection w:val="lrTb"/>
            <w:noWrap w:val="false"/>
          </w:tcPr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2353" w:type="pct"/>
            <w:textDirection w:val="lrTb"/>
            <w:noWrap w:val="false"/>
          </w:tcPr>
          <w:p>
            <w:pPr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</w:t>
            </w:r>
            <w:r>
              <w:rPr>
                <w:sz w:val="28"/>
                <w:szCs w:val="28"/>
              </w:rPr>
              <w:t xml:space="preserve">в</w:t>
            </w:r>
            <w:r>
              <w:rPr>
                <w:sz w:val="28"/>
                <w:szCs w:val="28"/>
              </w:rPr>
              <w:t xml:space="preserve"> % </w:t>
            </w:r>
            <w:r>
              <w:rPr>
                <w:sz w:val="28"/>
                <w:szCs w:val="28"/>
              </w:rPr>
              <w:t xml:space="preserve">от</w:t>
            </w:r>
            <w:r>
              <w:rPr>
                <w:sz w:val="28"/>
                <w:szCs w:val="28"/>
              </w:rPr>
              <w:t xml:space="preserve"> общего числа голосов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на собрании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7" w:type="pct"/>
            <w:textDirection w:val="lrTb"/>
            <w:noWrap w:val="false"/>
          </w:tcPr>
          <w:p>
            <w:pPr>
              <w:jc w:val="both"/>
              <w:spacing w:before="57" w:before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bCs/>
          <w:i/>
          <w:spacing w:val="28"/>
          <w:sz w:val="28"/>
          <w:szCs w:val="28"/>
          <w:highlight w:val="none"/>
        </w:rPr>
      </w:pPr>
      <w:r>
        <w:rPr>
          <w:i/>
          <w:spacing w:val="28"/>
          <w:sz w:val="28"/>
          <w:szCs w:val="28"/>
        </w:rPr>
        <w:t xml:space="preserve"> </w:t>
      </w:r>
      <w:r>
        <w:rPr>
          <w:bCs/>
          <w:i/>
          <w:spacing w:val="28"/>
          <w:sz w:val="28"/>
          <w:szCs w:val="28"/>
          <w:highlight w:val="none"/>
        </w:rPr>
      </w:r>
      <w:r>
        <w:rPr>
          <w:bCs/>
          <w:i/>
          <w:spacing w:val="28"/>
          <w:sz w:val="28"/>
          <w:szCs w:val="28"/>
          <w:highlight w:val="none"/>
        </w:rPr>
      </w:r>
    </w:p>
    <w:p>
      <w:pPr>
        <w:jc w:val="both"/>
        <w:spacing w:before="57" w:beforeAutospacing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Вопрос 1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утверждении Заключения Ревизионной комиссии РНК СИГРЭ за 2024 год.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b/>
          <w:bCs/>
          <w:sz w:val="28"/>
          <w:szCs w:val="28"/>
          <w:highlight w:val="none"/>
        </w:rPr>
      </w:pPr>
      <w:r>
        <w:rPr>
          <w:rFonts w:eastAsia="Calibri"/>
          <w:b/>
          <w:sz w:val="28"/>
          <w:szCs w:val="28"/>
        </w:rPr>
        <w:t xml:space="preserve">Решение: </w:t>
      </w:r>
      <w:r>
        <w:rPr>
          <w:rFonts w:eastAsia="Calibri"/>
          <w:b/>
          <w:bCs/>
          <w:sz w:val="28"/>
          <w:szCs w:val="28"/>
          <w:highlight w:val="none"/>
        </w:rPr>
      </w:r>
      <w:r>
        <w:rPr>
          <w:rFonts w:eastAsia="Calibri"/>
          <w:b/>
          <w:bCs/>
          <w:sz w:val="28"/>
          <w:szCs w:val="28"/>
          <w:highlight w:val="none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Утвердить Заключение Ревизионной комиссии РНК СИГРЭ за 2024 год согласно Приложению № 1 к решению.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</w:rPr>
      </w:r>
    </w:p>
    <w:tbl>
      <w:tblPr>
        <w:tblW w:w="4744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994"/>
        <w:gridCol w:w="2409"/>
        <w:gridCol w:w="852"/>
        <w:gridCol w:w="2695"/>
      </w:tblGrid>
      <w:tr>
        <w:tblPrEx/>
        <w:trPr>
          <w:trHeight w:val="70"/>
        </w:trPr>
        <w:tc>
          <w:tcPr>
            <w:tcW w:w="1230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9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307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ПРОТИВ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2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462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ВОЗДЕРЖАЛСЯ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i/>
          <w:spacing w:val="28"/>
          <w:sz w:val="20"/>
        </w:rPr>
      </w:pPr>
      <w:r>
        <w:rPr>
          <w:i/>
          <w:spacing w:val="28"/>
          <w:sz w:val="20"/>
        </w:rPr>
        <w:t xml:space="preserve">(оставьте </w:t>
      </w:r>
      <w:r>
        <w:rPr>
          <w:i/>
          <w:spacing w:val="28"/>
          <w:sz w:val="20"/>
        </w:rPr>
        <w:t xml:space="preserve">незачеркнутым</w:t>
      </w:r>
      <w:r>
        <w:rPr>
          <w:i/>
          <w:spacing w:val="28"/>
          <w:sz w:val="20"/>
        </w:rPr>
        <w:t xml:space="preserve"> Ваш вариант ответа)</w:t>
      </w:r>
      <w:r>
        <w:rPr>
          <w:i/>
          <w:spacing w:val="28"/>
          <w:sz w:val="20"/>
        </w:rPr>
      </w:r>
      <w:r>
        <w:rPr>
          <w:i/>
          <w:spacing w:val="28"/>
          <w:sz w:val="20"/>
        </w:rPr>
      </w:r>
    </w:p>
    <w:p>
      <w:pPr>
        <w:jc w:val="both"/>
        <w:spacing w:before="57" w:beforeAutospacing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Вопрос 2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утверждении Финансового отчета РНК СИГРЭ за 2024 год.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Решение: 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Утвердить Финансовый отчет РНК СИГРЭ за 2024 год согласно Приложению № </w:t>
      </w:r>
      <w:r>
        <w:rPr>
          <w:rFonts w:eastAsia="Calibri"/>
          <w:sz w:val="28"/>
          <w:szCs w:val="28"/>
          <w:lang w:val="en-US"/>
        </w:rPr>
        <w:t xml:space="preserve">2</w:t>
      </w:r>
      <w:r>
        <w:rPr>
          <w:rFonts w:eastAsia="Calibri"/>
          <w:sz w:val="28"/>
          <w:szCs w:val="28"/>
        </w:rPr>
        <w:t xml:space="preserve"> к решению.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</w:rPr>
      </w:r>
    </w:p>
    <w:tbl>
      <w:tblPr>
        <w:tblW w:w="4744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994"/>
        <w:gridCol w:w="2409"/>
        <w:gridCol w:w="852"/>
        <w:gridCol w:w="2695"/>
      </w:tblGrid>
      <w:tr>
        <w:tblPrEx/>
        <w:trPr>
          <w:trHeight w:val="70"/>
        </w:trPr>
        <w:tc>
          <w:tcPr>
            <w:tcW w:w="1230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9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307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ПРОТИВ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2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462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ВОЗДЕРЖАЛСЯ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i/>
          <w:spacing w:val="28"/>
          <w:sz w:val="20"/>
        </w:rPr>
      </w:pPr>
      <w:r>
        <w:rPr>
          <w:i/>
          <w:spacing w:val="28"/>
          <w:sz w:val="20"/>
        </w:rPr>
        <w:t xml:space="preserve">(оставьте </w:t>
      </w:r>
      <w:r>
        <w:rPr>
          <w:i/>
          <w:spacing w:val="28"/>
          <w:sz w:val="20"/>
        </w:rPr>
        <w:t xml:space="preserve">незачеркнутым</w:t>
      </w:r>
      <w:r>
        <w:rPr>
          <w:i/>
          <w:spacing w:val="28"/>
          <w:sz w:val="20"/>
        </w:rPr>
        <w:t xml:space="preserve"> Ваш вариант ответа)</w:t>
      </w:r>
      <w:r>
        <w:rPr>
          <w:i/>
          <w:spacing w:val="28"/>
          <w:sz w:val="20"/>
        </w:rPr>
      </w:r>
      <w:r>
        <w:rPr>
          <w:i/>
          <w:spacing w:val="28"/>
          <w:sz w:val="20"/>
        </w:rPr>
      </w:r>
    </w:p>
    <w:p>
      <w:pPr>
        <w:jc w:val="both"/>
        <w:spacing w:before="57" w:beforeAutospacing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Вопрос 3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определении размера вступительного и ежегодного членских взносов </w:t>
      </w:r>
      <w:r>
        <w:rPr>
          <w:rFonts w:eastAsia="Calibri"/>
          <w:sz w:val="28"/>
          <w:szCs w:val="28"/>
        </w:rPr>
        <w:br/>
        <w:t xml:space="preserve">на 2026 год.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jc w:val="both"/>
        <w:spacing w:before="57" w:beforeAutospacing="0"/>
        <w:tabs>
          <w:tab w:val="left" w:pos="284" w:leader="none"/>
          <w:tab w:val="left" w:pos="426" w:leader="none"/>
          <w:tab w:val="left" w:pos="993" w:leader="none"/>
        </w:tabs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Решение: 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both"/>
        <w:spacing w:before="57" w:beforeAutospacing="0"/>
        <w:tabs>
          <w:tab w:val="left" w:pos="709" w:leader="none"/>
        </w:tabs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3.1. Определить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размеры вступительного и ежегодного членских взносов и порядок их внесения членами РНК СИГРЭ на 2026 год: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4964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6"/>
        <w:gridCol w:w="5525"/>
        <w:gridCol w:w="1984"/>
        <w:gridCol w:w="1707"/>
      </w:tblGrid>
      <w:tr>
        <w:tblPrEx/>
        <w:trPr/>
        <w:tc>
          <w:tcPr>
            <w:shd w:val="clear" w:color="auto" w:fill="fbd4b4"/>
            <w:tcW w:w="422" w:type="dxa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№</w:t>
            </w:r>
            <w:r/>
          </w:p>
        </w:tc>
        <w:tc>
          <w:tcPr>
            <w:gridSpan w:val="2"/>
            <w:shd w:val="clear" w:color="auto" w:fill="fbd4b4"/>
            <w:tcW w:w="55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Категория членства</w:t>
            </w:r>
            <w:r/>
          </w:p>
        </w:tc>
        <w:tc>
          <w:tcPr>
            <w:gridSpan w:val="2"/>
            <w:shd w:val="clear" w:color="auto" w:fill="fbd4b4"/>
            <w:tcW w:w="369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Размеры членских взносов </w:t>
            </w:r>
            <w:r/>
          </w:p>
          <w:p>
            <w:pPr>
              <w:jc w:val="center"/>
              <w:spacing w:before="0" w:beforeAutospacing="0"/>
            </w:pPr>
            <w:r>
              <w:t xml:space="preserve">на 2026 г., руб.</w:t>
            </w:r>
            <w:r/>
          </w:p>
        </w:tc>
      </w:tr>
      <w:tr>
        <w:tblPrEx/>
        <w:trPr/>
        <w:tc>
          <w:tcPr>
            <w:shd w:val="clear" w:color="auto" w:fill="fbd4b4"/>
            <w:tcW w:w="422" w:type="dxa"/>
            <w:vMerge w:val="continue"/>
            <w:textDirection w:val="lrTb"/>
            <w:noWrap w:val="false"/>
          </w:tcPr>
          <w:p>
            <w:pPr>
              <w:jc w:val="both"/>
            </w:pPr>
            <w:r/>
            <w:r/>
          </w:p>
        </w:tc>
        <w:tc>
          <w:tcPr>
            <w:gridSpan w:val="2"/>
            <w:shd w:val="clear" w:color="auto" w:fill="fbd4b4"/>
            <w:tcW w:w="5531" w:type="dxa"/>
            <w:vMerge w:val="continue"/>
            <w:textDirection w:val="lrTb"/>
            <w:noWrap w:val="false"/>
          </w:tcPr>
          <w:p>
            <w:pPr>
              <w:jc w:val="both"/>
            </w:pPr>
            <w:r/>
            <w:r/>
          </w:p>
        </w:tc>
        <w:tc>
          <w:tcPr>
            <w:shd w:val="clear" w:color="auto" w:fill="fbd4b4"/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Вступительный</w:t>
            </w:r>
            <w:r/>
          </w:p>
        </w:tc>
        <w:tc>
          <w:tcPr>
            <w:shd w:val="clear" w:color="auto" w:fill="fbd4b4"/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Ежегодный</w:t>
            </w:r>
            <w:r/>
          </w:p>
        </w:tc>
      </w:tr>
      <w:tr>
        <w:tblPrEx/>
        <w:trPr>
          <w:trHeight w:val="318"/>
        </w:trPr>
        <w:tc>
          <w:tcPr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1.</w:t>
            </w:r>
            <w:r/>
          </w:p>
        </w:tc>
        <w:tc>
          <w:tcPr>
            <w:gridSpan w:val="2"/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Коллективные члены </w:t>
            </w:r>
            <w:r>
              <w:rPr>
                <w:lang w:val="en-US"/>
              </w:rPr>
              <w:t xml:space="preserve">A</w:t>
            </w:r>
            <w:r>
              <w:t xml:space="preserve">I*</w:t>
            </w:r>
            <w:r/>
          </w:p>
          <w:p>
            <w:pPr>
              <w:jc w:val="both"/>
              <w:spacing w:before="0" w:beforeAutospacing="0"/>
            </w:pPr>
            <w:r>
              <w:t xml:space="preserve">(компании с числом сотрудников от 500 человек)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100 000,00</w:t>
            </w:r>
            <w:r/>
          </w:p>
        </w:tc>
        <w:tc>
          <w:tcPr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100 000,00</w:t>
            </w:r>
            <w:r/>
          </w:p>
        </w:tc>
      </w:tr>
      <w:tr>
        <w:tblPrEx/>
        <w:trPr>
          <w:trHeight w:val="134"/>
        </w:trPr>
        <w:tc>
          <w:tcPr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2.</w:t>
            </w:r>
            <w:r/>
          </w:p>
        </w:tc>
        <w:tc>
          <w:tcPr>
            <w:gridSpan w:val="2"/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Коллективные члены </w:t>
            </w:r>
            <w:r>
              <w:rPr>
                <w:lang w:val="en-US"/>
              </w:rPr>
              <w:t xml:space="preserve">B</w:t>
            </w:r>
            <w:r>
              <w:t xml:space="preserve">I*</w:t>
            </w:r>
            <w:r/>
          </w:p>
          <w:p>
            <w:pPr>
              <w:jc w:val="both"/>
              <w:spacing w:before="0" w:beforeAutospacing="0"/>
            </w:pPr>
            <w:r>
              <w:t xml:space="preserve">(компании с числом сотрудников до 499 человек)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85 000,00</w:t>
            </w:r>
            <w:r/>
          </w:p>
        </w:tc>
        <w:tc>
          <w:tcPr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85 000,00</w:t>
            </w:r>
            <w:r/>
          </w:p>
        </w:tc>
      </w:tr>
      <w:tr>
        <w:tblPrEx/>
        <w:trPr/>
        <w:tc>
          <w:tcPr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3.</w:t>
            </w:r>
            <w:r/>
          </w:p>
        </w:tc>
        <w:tc>
          <w:tcPr>
            <w:gridSpan w:val="2"/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Коллективные члены II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43 000,00</w:t>
            </w:r>
            <w:r/>
          </w:p>
        </w:tc>
        <w:tc>
          <w:tcPr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43 000,00</w:t>
            </w:r>
            <w:r/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4.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Индивидуальные члены I (кроме призеров мероприятий Молодежной секции </w:t>
            </w:r>
            <w:r>
              <w:br/>
              <w:t xml:space="preserve">РНК СИГРЭ, указанных п. 6)</w:t>
            </w:r>
            <w:r/>
          </w:p>
        </w:tc>
        <w:tc>
          <w:tcPr>
            <w:tcBorders>
              <w:bottom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  <w:tc>
          <w:tcPr>
            <w:tcBorders>
              <w:bottom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8 500,00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5.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Индивидуальные члены II (кроме участников Молодежной секции РНК СИГРЭ, указанных п. 7)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4 300,00</w:t>
            </w:r>
            <w:r/>
          </w:p>
        </w:tc>
      </w:tr>
      <w:tr>
        <w:tblPrEx/>
        <w:trPr>
          <w:trHeight w:val="3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6.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Индивидуальные члены I – победители </w:t>
            </w:r>
            <w:r>
              <w:br/>
              <w:t xml:space="preserve">и призеры  мероприятий Молодежной секции РНК СИГРЭ, переведенные из категории Индивидуальные члены II в связи </w:t>
            </w:r>
            <w:r>
              <w:br/>
            </w:r>
            <w:r>
              <w:t xml:space="preserve">с истечением установленного 2-х годичного срока льготного членства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</w:tr>
      <w:tr>
        <w:tblPrEx/>
        <w:trPr>
          <w:trHeight w:val="10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7.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31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Индивидуальные члены II – участники Молодежной секции РНК СИГРЭ в течение </w:t>
            </w:r>
            <w:r>
              <w:br/>
              <w:t xml:space="preserve">2-х лет, начиная с года вступления </w:t>
            </w:r>
            <w:r>
              <w:br/>
              <w:t xml:space="preserve">в Ассоциацию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0,00</w:t>
            </w:r>
            <w:r/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8" w:type="dxa"/>
            <w:textDirection w:val="lrTb"/>
            <w:noWrap w:val="false"/>
          </w:tcPr>
          <w:p>
            <w:pPr>
              <w:jc w:val="center"/>
              <w:spacing w:before="0" w:beforeAutospacing="0"/>
            </w:pPr>
            <w:r>
              <w:t xml:space="preserve">*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6" w:type="dxa"/>
            <w:textDirection w:val="lrTb"/>
            <w:noWrap w:val="false"/>
          </w:tcPr>
          <w:p>
            <w:pPr>
              <w:jc w:val="both"/>
              <w:spacing w:before="0" w:beforeAutospacing="0"/>
            </w:pPr>
            <w:r>
              <w:t xml:space="preserve">кроме коллективных членов, уплачивающих членские взносы в увеличенном размере согласно условиям заключенных договоров о членстве в РНК СИГРЭ</w:t>
            </w:r>
            <w:r/>
          </w:p>
        </w:tc>
      </w:tr>
    </w:tbl>
    <w:p>
      <w:pPr>
        <w:jc w:val="both"/>
        <w:spacing w:before="57" w:beforeAutospacing="0"/>
        <w:rPr>
          <w:sz w:val="28"/>
          <w:szCs w:val="28"/>
        </w:rPr>
      </w:pPr>
      <w:r>
        <w:rPr>
          <w:sz w:val="28"/>
          <w:szCs w:val="28"/>
        </w:rPr>
        <w:t xml:space="preserve">3.2. Установить срок оплаты очередного ежегодного членского взноса за 2026 год – до 15 марта 2026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57" w:beforeAutospacing="0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 Утвердить нижеследующий порядок внесения членских взносов для следующих членов Молодежной секции РНК СИГРЭ: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57" w:beforeAutospacing="0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3.3.1. победителям и призерам мероприятий Молодежной секции РНК СИГРЭ, принимаемым в РНК СИГРЭ, предоставлять льготное членство по категории «И</w:t>
      </w:r>
      <w:r>
        <w:rPr>
          <w:sz w:val="28"/>
          <w:szCs w:val="28"/>
        </w:rPr>
        <w:t xml:space="preserve">ндивидуальные члены II» с освобождением от уплаты членских взносов </w:t>
      </w:r>
      <w:r>
        <w:rPr>
          <w:sz w:val="28"/>
          <w:szCs w:val="28"/>
        </w:rPr>
        <w:br/>
        <w:t xml:space="preserve">в течение 2 (Двух) лет, начиная с года вступления в РНК СИГРЭ;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57" w:beforeAutospacing="0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3.3.2. победителям и призерам мероприятий Молодежной секции РНК СИГРЭ, </w:t>
      </w:r>
      <w:r>
        <w:rPr>
          <w:sz w:val="28"/>
          <w:szCs w:val="28"/>
        </w:rPr>
        <w:br/>
        <w:t xml:space="preserve">уже имеющим членство в РНК СИГРЭ по категории «Индиви</w:t>
      </w:r>
      <w:r>
        <w:rPr>
          <w:sz w:val="28"/>
          <w:szCs w:val="28"/>
        </w:rPr>
        <w:t xml:space="preserve">дуальные члены II», у которых в 2026 году истекает льготный срок членства в РНК СИГРЭ, предоставлять возможность перейти в категорию «Индивидуальные члены I» с освобождением от уплаты членских взносов в 2026 году. Данная льгота направлена на закрепление в </w:t>
      </w:r>
      <w:r>
        <w:rPr>
          <w:sz w:val="28"/>
          <w:szCs w:val="28"/>
        </w:rPr>
        <w:t xml:space="preserve">рядах РНК СИГРЭ лучших студентов </w:t>
      </w:r>
      <w:r>
        <w:rPr>
          <w:sz w:val="28"/>
          <w:szCs w:val="28"/>
        </w:rPr>
        <w:br/>
        <w:t xml:space="preserve">и выпускников вузов. Применение этой льготы в 2026 году и последующие годы допускается при наличии финансовых возможностей Ассоциации;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57" w:beforeAutospacing="0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3.3.3. участники мероприятий Молодежной секции РНК СИГРЭ, имеющие членство в РНК СИГРЭ по категории «Индивидуальные члены II», у которых </w:t>
      </w:r>
      <w:r>
        <w:rPr>
          <w:sz w:val="28"/>
          <w:szCs w:val="28"/>
        </w:rPr>
        <w:br/>
        <w:t xml:space="preserve">в 2026 году истекает льготный срок членства в РНК СИГРЭ и которые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стали призерами и победителями мероприятий Молоде</w:t>
      </w:r>
      <w:r>
        <w:rPr>
          <w:sz w:val="28"/>
          <w:szCs w:val="28"/>
        </w:rPr>
        <w:t xml:space="preserve">жной секции РНК СИГРЭ </w:t>
      </w:r>
      <w:r>
        <w:rPr>
          <w:sz w:val="28"/>
          <w:szCs w:val="28"/>
        </w:rPr>
        <w:t xml:space="preserve">в 2024-2025 гг., либо переходят в категорию «Индивидуальные члены I» без льгот и начинают с 2026 года уплачивать членские</w:t>
      </w:r>
      <w:r>
        <w:rPr>
          <w:sz w:val="28"/>
          <w:szCs w:val="28"/>
        </w:rPr>
        <w:t xml:space="preserve"> взносы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общих основаниях, либо прекращают свое членство в РНК СИГРЭ.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60"/>
        <w:tabs>
          <w:tab w:val="left" w:pos="709" w:leader="none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tbl>
      <w:tblPr>
        <w:tblW w:w="4744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994"/>
        <w:gridCol w:w="2409"/>
        <w:gridCol w:w="852"/>
        <w:gridCol w:w="2695"/>
      </w:tblGrid>
      <w:tr>
        <w:tblPrEx/>
        <w:trPr>
          <w:trHeight w:val="70"/>
        </w:trPr>
        <w:tc>
          <w:tcPr>
            <w:tcW w:w="1230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9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307" w:type="pc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ПРОТИВ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2" w:type="pct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462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ВОЗДЕРЖАЛСЯ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i/>
          <w:spacing w:val="28"/>
          <w:sz w:val="20"/>
        </w:rPr>
      </w:pPr>
      <w:r>
        <w:rPr>
          <w:i/>
          <w:spacing w:val="28"/>
          <w:sz w:val="20"/>
        </w:rPr>
        <w:t xml:space="preserve">(оставьте </w:t>
      </w:r>
      <w:r>
        <w:rPr>
          <w:i/>
          <w:spacing w:val="28"/>
          <w:sz w:val="20"/>
        </w:rPr>
        <w:t xml:space="preserve">незачеркнутым</w:t>
      </w:r>
      <w:r>
        <w:rPr>
          <w:i/>
          <w:spacing w:val="28"/>
          <w:sz w:val="20"/>
        </w:rPr>
        <w:t xml:space="preserve"> Ваш вариант ответа)</w:t>
      </w:r>
      <w:r>
        <w:rPr>
          <w:i/>
          <w:spacing w:val="28"/>
          <w:sz w:val="20"/>
        </w:rPr>
      </w:r>
      <w:r>
        <w:rPr>
          <w:i/>
          <w:spacing w:val="28"/>
          <w:sz w:val="20"/>
        </w:rPr>
      </w:r>
    </w:p>
    <w:p>
      <w:pPr>
        <w:pStyle w:val="731"/>
        <w:rPr>
          <w:b w:val="0"/>
          <w:sz w:val="16"/>
          <w:szCs w:val="16"/>
        </w:rPr>
      </w:pPr>
      <w:r>
        <w:rPr>
          <w:rFonts w:ascii="Times New Roman" w:hAnsi="Times New Roman"/>
          <w:i w:val="0"/>
          <w:sz w:val="28"/>
          <w:szCs w:val="28"/>
        </w:rPr>
        <w:t xml:space="preserve">Член РНК СИГРЭ</w:t>
      </w:r>
      <w:r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  <w:sz w:val="24"/>
          <w:szCs w:val="24"/>
        </w:rPr>
        <w:tab/>
        <w:t xml:space="preserve">             </w:t>
      </w:r>
      <w:r>
        <w:rPr>
          <w:b w:val="0"/>
          <w:sz w:val="16"/>
          <w:szCs w:val="16"/>
        </w:rPr>
        <w:t xml:space="preserve">___________________________  / ________________________ </w:t>
      </w:r>
      <w:r>
        <w:rPr>
          <w:b w:val="0"/>
          <w:sz w:val="16"/>
          <w:szCs w:val="16"/>
        </w:rPr>
      </w:r>
      <w:r>
        <w:rPr>
          <w:b w:val="0"/>
          <w:sz w:val="16"/>
          <w:szCs w:val="16"/>
        </w:rPr>
      </w:r>
    </w:p>
    <w:p>
      <w:pPr>
        <w:ind w:left="35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(подпись)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(Ф.И.О.)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либо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731"/>
        <w:jc w:val="both"/>
        <w:spacing w:before="0" w:after="0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Представитель Коллективного/Индивидуального члена РНК СИГРЭ, действующий на основании </w:t>
      </w:r>
      <w:r>
        <w:rPr>
          <w:rFonts w:ascii="Times New Roman" w:hAnsi="Times New Roman"/>
          <w:i w:val="0"/>
          <w:sz w:val="28"/>
          <w:szCs w:val="28"/>
        </w:rPr>
      </w:r>
      <w:r>
        <w:rPr>
          <w:rFonts w:ascii="Times New Roman" w:hAnsi="Times New Roman"/>
          <w:i w:val="0"/>
          <w:sz w:val="28"/>
          <w:szCs w:val="28"/>
        </w:rPr>
      </w:r>
    </w:p>
    <w:p>
      <w:r/>
      <w:r/>
    </w:p>
    <w:p>
      <w:pPr>
        <w:pStyle w:val="731"/>
        <w:spacing w:before="0" w:after="0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 _________________________________________________________________________</w:t>
      </w:r>
      <w:r>
        <w:rPr>
          <w:rFonts w:ascii="Times New Roman" w:hAnsi="Times New Roman"/>
          <w:i w:val="0"/>
          <w:sz w:val="24"/>
          <w:szCs w:val="24"/>
        </w:rPr>
      </w:r>
      <w:r>
        <w:rPr>
          <w:rFonts w:ascii="Times New Roman" w:hAnsi="Times New Roman"/>
          <w:i w:val="0"/>
          <w:sz w:val="24"/>
          <w:szCs w:val="24"/>
        </w:rPr>
      </w:r>
    </w:p>
    <w:p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(Устава / дата, номер доверенности)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</w:r>
      <w:r>
        <w:rPr>
          <w:i/>
          <w:sz w:val="16"/>
          <w:szCs w:val="16"/>
        </w:rPr>
      </w:r>
      <w:r>
        <w:rPr>
          <w:i/>
          <w:sz w:val="16"/>
          <w:szCs w:val="16"/>
        </w:rPr>
      </w:r>
    </w:p>
    <w:p>
      <w:pPr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1"/>
        <w:spacing w:before="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ab/>
      </w:r>
      <w:r>
        <w:rPr>
          <w:b w:val="0"/>
          <w:sz w:val="16"/>
          <w:szCs w:val="16"/>
        </w:rPr>
        <w:tab/>
      </w:r>
      <w:r>
        <w:rPr>
          <w:b w:val="0"/>
          <w:sz w:val="16"/>
          <w:szCs w:val="16"/>
        </w:rPr>
        <w:tab/>
      </w:r>
      <w:r>
        <w:rPr>
          <w:b w:val="0"/>
          <w:sz w:val="16"/>
          <w:szCs w:val="16"/>
        </w:rPr>
        <w:tab/>
      </w:r>
      <w:r>
        <w:rPr>
          <w:b w:val="0"/>
          <w:sz w:val="16"/>
          <w:szCs w:val="16"/>
        </w:rPr>
        <w:t xml:space="preserve">                    ___________________________  / _______________________ </w:t>
      </w:r>
      <w:r>
        <w:rPr>
          <w:b w:val="0"/>
          <w:sz w:val="16"/>
          <w:szCs w:val="16"/>
        </w:rPr>
      </w:r>
      <w:r>
        <w:rPr>
          <w:b w:val="0"/>
          <w:sz w:val="16"/>
          <w:szCs w:val="16"/>
        </w:rPr>
      </w:r>
    </w:p>
    <w:p>
      <w:pPr>
        <w:ind w:left="35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(подпись)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(Ф.И.О.)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tabs>
          <w:tab w:val="left" w:pos="3299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709" w:right="70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Batang">
    <w:panose1 w:val="02000506000000020000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  <w:rPr>
        <w:b/>
        <w:sz w:val="20"/>
        <w:szCs w:val="20"/>
      </w:rPr>
    </w:pPr>
    <w:r>
      <w:rPr>
        <w:b/>
        <w:sz w:val="20"/>
        <w:szCs w:val="20"/>
      </w:rPr>
      <w:t xml:space="preserve">Подпись члена РНК СИГРЭ или его представителя</w:t>
    </w:r>
    <w:r>
      <w:rPr>
        <w:b/>
        <w:sz w:val="20"/>
        <w:szCs w:val="20"/>
      </w:rPr>
    </w:r>
    <w:r>
      <w:rPr>
        <w:b/>
        <w:sz w:val="20"/>
        <w:szCs w:val="20"/>
      </w:rPr>
    </w:r>
  </w:p>
  <w:p>
    <w:pPr>
      <w:pStyle w:val="772"/>
      <w:rPr>
        <w:b/>
        <w:sz w:val="20"/>
        <w:szCs w:val="20"/>
      </w:rPr>
    </w:pPr>
    <w:r>
      <w:rPr>
        <w:i/>
        <w:sz w:val="20"/>
        <w:szCs w:val="20"/>
      </w:rPr>
      <w:t xml:space="preserve">         </w:t>
    </w:r>
    <w:r>
      <w:rPr>
        <w:b/>
        <w:sz w:val="20"/>
        <w:szCs w:val="20"/>
      </w:rPr>
    </w:r>
    <w:r>
      <w:rPr>
        <w:b/>
        <w:sz w:val="20"/>
        <w:szCs w:val="20"/>
      </w:rPr>
    </w:r>
  </w:p>
  <w:p>
    <w:pPr>
      <w:pStyle w:val="772"/>
      <w:spacing w:before="120"/>
      <w:rPr>
        <w:b/>
        <w:sz w:val="20"/>
        <w:szCs w:val="20"/>
      </w:rPr>
    </w:pPr>
    <w:r>
      <w:rPr>
        <w:b/>
        <w:sz w:val="20"/>
        <w:szCs w:val="20"/>
      </w:rPr>
      <w:t xml:space="preserve">_________________________/____________________________</w:t>
    </w:r>
    <w:r>
      <w:rPr>
        <w:b/>
        <w:sz w:val="20"/>
        <w:szCs w:val="20"/>
      </w:rPr>
    </w:r>
    <w:r>
      <w:rPr>
        <w:b/>
        <w:sz w:val="20"/>
        <w:szCs w:val="20"/>
      </w:rPr>
    </w:r>
  </w:p>
  <w:p>
    <w:pPr>
      <w:pStyle w:val="772"/>
      <w:rPr>
        <w:b/>
        <w:sz w:val="20"/>
        <w:szCs w:val="20"/>
      </w:rPr>
    </w:pPr>
    <w:r>
      <w:rPr>
        <w:i/>
        <w:sz w:val="20"/>
        <w:szCs w:val="20"/>
      </w:rPr>
      <w:t xml:space="preserve">                   Подпись                                 Фамилия, И.О.</w:t>
    </w:r>
    <w:r>
      <w:rPr>
        <w:b/>
        <w:sz w:val="20"/>
        <w:szCs w:val="20"/>
      </w:rPr>
    </w:r>
    <w:r>
      <w:rPr>
        <w:b/>
        <w:sz w:val="20"/>
        <w:szCs w:val="20"/>
      </w:rPr>
    </w:r>
  </w:p>
  <w:p>
    <w:pPr>
      <w:pStyle w:val="772"/>
      <w:rPr>
        <w:b/>
        <w:sz w:val="18"/>
        <w:szCs w:val="18"/>
      </w:rPr>
    </w:pPr>
    <w:r>
      <w:rPr>
        <w:i/>
        <w:sz w:val="18"/>
        <w:szCs w:val="18"/>
      </w:rPr>
      <w:t xml:space="preserve">                                 </w:t>
    </w:r>
    <w:r>
      <w:rPr>
        <w:b/>
        <w:sz w:val="18"/>
        <w:szCs w:val="18"/>
      </w:rPr>
    </w:r>
    <w:r>
      <w:rPr>
        <w:b/>
        <w:sz w:val="18"/>
        <w:szCs w:val="18"/>
      </w:rPr>
    </w:r>
  </w:p>
  <w:p>
    <w:pPr>
      <w:pStyle w:val="77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0"/>
      <w:jc w:val="center"/>
      <w:rPr>
        <w:i/>
        <w:sz w:val="22"/>
      </w:rPr>
    </w:pPr>
    <w:r>
      <w:rPr>
        <w:i/>
        <w:sz w:val="22"/>
      </w:rPr>
    </w:r>
    <w:r>
      <w:rPr>
        <w:i/>
        <w:sz w:val="22"/>
      </w:rPr>
    </w:r>
    <w:r>
      <w:rPr>
        <w:i/>
        <w:sz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555" w:hanging="555"/>
      </w:pPr>
    </w:lvl>
    <w:lvl w:ilvl="1">
      <w:start w:val="6"/>
      <w:numFmt w:val="decimal"/>
      <w:isLgl w:val="false"/>
      <w:suff w:val="tab"/>
      <w:lvlText w:val="%1.%2"/>
      <w:lvlJc w:val="left"/>
      <w:pPr>
        <w:ind w:left="909" w:hanging="55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32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3" w:hanging="1005"/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1128" w:hanging="420"/>
        <w:tabs>
          <w:tab w:val="num" w:pos="1128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  <w:tabs>
          <w:tab w:val="num" w:pos="1428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788" w:hanging="1080"/>
        <w:tabs>
          <w:tab w:val="num" w:pos="1788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788" w:hanging="1080"/>
        <w:tabs>
          <w:tab w:val="num" w:pos="178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48" w:hanging="1440"/>
        <w:tabs>
          <w:tab w:val="num" w:pos="214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48" w:hanging="1440"/>
        <w:tabs>
          <w:tab w:val="num" w:pos="2148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08" w:hanging="1800"/>
        <w:tabs>
          <w:tab w:val="num" w:pos="2508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68" w:hanging="2160"/>
        <w:tabs>
          <w:tab w:val="num" w:pos="2868" w:leader="none"/>
        </w:tabs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</w:lvl>
    <w:lvl w:ilvl="1">
      <w:start w:val="10"/>
      <w:numFmt w:val="decimal"/>
      <w:isLgl w:val="false"/>
      <w:suff w:val="tab"/>
      <w:lvlText w:val="%1.%2"/>
      <w:lvlJc w:val="left"/>
      <w:pPr>
        <w:ind w:left="1450" w:hanging="60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7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44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533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65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739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8600" w:hanging="180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Batang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6" w:default="1">
    <w:name w:val="Normal"/>
    <w:qFormat/>
    <w:rPr>
      <w:rFonts w:eastAsia="Times New Roman"/>
      <w:sz w:val="24"/>
      <w:szCs w:val="24"/>
    </w:rPr>
  </w:style>
  <w:style w:type="paragraph" w:styleId="727">
    <w:name w:val="Heading 1"/>
    <w:basedOn w:val="726"/>
    <w:next w:val="726"/>
    <w:link w:val="7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8">
    <w:name w:val="Heading 2"/>
    <w:basedOn w:val="726"/>
    <w:next w:val="726"/>
    <w:link w:val="75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9">
    <w:name w:val="Heading 3"/>
    <w:basedOn w:val="726"/>
    <w:next w:val="726"/>
    <w:link w:val="931"/>
    <w:qFormat/>
    <w:pPr>
      <w:jc w:val="center"/>
      <w:keepNext/>
      <w:outlineLvl w:val="2"/>
    </w:pPr>
    <w:rPr>
      <w:rFonts w:ascii="Tahoma" w:hAnsi="Tahoma"/>
      <w:b/>
      <w:sz w:val="28"/>
      <w:szCs w:val="20"/>
    </w:rPr>
  </w:style>
  <w:style w:type="paragraph" w:styleId="730">
    <w:name w:val="Heading 4"/>
    <w:basedOn w:val="726"/>
    <w:next w:val="726"/>
    <w:link w:val="932"/>
    <w:qFormat/>
    <w:pPr>
      <w:keepNext/>
      <w:outlineLvl w:val="3"/>
    </w:pPr>
    <w:rPr>
      <w:b/>
      <w:sz w:val="28"/>
      <w:szCs w:val="20"/>
    </w:rPr>
  </w:style>
  <w:style w:type="paragraph" w:styleId="731">
    <w:name w:val="Heading 5"/>
    <w:basedOn w:val="726"/>
    <w:next w:val="726"/>
    <w:link w:val="934"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32">
    <w:name w:val="Heading 6"/>
    <w:basedOn w:val="726"/>
    <w:next w:val="726"/>
    <w:link w:val="7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726"/>
    <w:next w:val="726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726"/>
    <w:next w:val="726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726"/>
    <w:next w:val="726"/>
    <w:link w:val="7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 w:default="1">
    <w:name w:val="Default Paragraph Font"/>
    <w:uiPriority w:val="1"/>
    <w:semiHidden/>
    <w:unhideWhenUsed/>
  </w:style>
  <w:style w:type="table" w:styleId="7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8" w:default="1">
    <w:name w:val="No List"/>
    <w:uiPriority w:val="99"/>
    <w:semiHidden/>
    <w:unhideWhenUsed/>
  </w:style>
  <w:style w:type="character" w:styleId="739" w:customStyle="1">
    <w:name w:val="Heading 1 Char"/>
    <w:basedOn w:val="736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Heading 2 Char"/>
    <w:basedOn w:val="736"/>
    <w:uiPriority w:val="9"/>
    <w:rPr>
      <w:rFonts w:ascii="Arial" w:hAnsi="Arial" w:eastAsia="Arial" w:cs="Arial"/>
      <w:sz w:val="34"/>
    </w:rPr>
  </w:style>
  <w:style w:type="character" w:styleId="741" w:customStyle="1">
    <w:name w:val="Heading 6 Char"/>
    <w:basedOn w:val="736"/>
    <w:uiPriority w:val="9"/>
    <w:rPr>
      <w:rFonts w:ascii="Arial" w:hAnsi="Arial" w:eastAsia="Arial" w:cs="Arial"/>
      <w:b/>
      <w:bCs/>
      <w:sz w:val="22"/>
      <w:szCs w:val="22"/>
    </w:rPr>
  </w:style>
  <w:style w:type="character" w:styleId="742" w:customStyle="1">
    <w:name w:val="Heading 7 Char"/>
    <w:basedOn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Heading 8 Char"/>
    <w:basedOn w:val="736"/>
    <w:uiPriority w:val="9"/>
    <w:rPr>
      <w:rFonts w:ascii="Arial" w:hAnsi="Arial" w:eastAsia="Arial" w:cs="Arial"/>
      <w:i/>
      <w:iCs/>
      <w:sz w:val="22"/>
      <w:szCs w:val="22"/>
    </w:rPr>
  </w:style>
  <w:style w:type="character" w:styleId="744" w:customStyle="1">
    <w:name w:val="Heading 9 Char"/>
    <w:basedOn w:val="736"/>
    <w:uiPriority w:val="9"/>
    <w:rPr>
      <w:rFonts w:ascii="Arial" w:hAnsi="Arial" w:eastAsia="Arial" w:cs="Arial"/>
      <w:i/>
      <w:iCs/>
      <w:sz w:val="21"/>
      <w:szCs w:val="21"/>
    </w:rPr>
  </w:style>
  <w:style w:type="character" w:styleId="745" w:customStyle="1">
    <w:name w:val="Title Char"/>
    <w:basedOn w:val="736"/>
    <w:uiPriority w:val="10"/>
    <w:rPr>
      <w:sz w:val="48"/>
      <w:szCs w:val="48"/>
    </w:rPr>
  </w:style>
  <w:style w:type="character" w:styleId="746" w:customStyle="1">
    <w:name w:val="Subtitle Char"/>
    <w:basedOn w:val="736"/>
    <w:uiPriority w:val="11"/>
    <w:rPr>
      <w:sz w:val="24"/>
      <w:szCs w:val="24"/>
    </w:rPr>
  </w:style>
  <w:style w:type="character" w:styleId="747" w:customStyle="1">
    <w:name w:val="Quote Char"/>
    <w:uiPriority w:val="29"/>
    <w:rPr>
      <w:i/>
    </w:rPr>
  </w:style>
  <w:style w:type="character" w:styleId="748" w:customStyle="1">
    <w:name w:val="Intense Quote Char"/>
    <w:uiPriority w:val="30"/>
    <w:rPr>
      <w:i/>
    </w:rPr>
  </w:style>
  <w:style w:type="character" w:styleId="749" w:customStyle="1">
    <w:name w:val="Footnote Text Char"/>
    <w:uiPriority w:val="99"/>
    <w:rPr>
      <w:sz w:val="18"/>
    </w:rPr>
  </w:style>
  <w:style w:type="character" w:styleId="750" w:customStyle="1">
    <w:name w:val="Endnote Text Char"/>
    <w:uiPriority w:val="99"/>
    <w:rPr>
      <w:sz w:val="20"/>
    </w:rPr>
  </w:style>
  <w:style w:type="character" w:styleId="751" w:customStyle="1">
    <w:name w:val="Заголовок 1 Знак"/>
    <w:link w:val="727"/>
    <w:uiPriority w:val="9"/>
    <w:rPr>
      <w:rFonts w:ascii="Arial" w:hAnsi="Arial" w:eastAsia="Arial" w:cs="Arial"/>
      <w:sz w:val="40"/>
      <w:szCs w:val="40"/>
    </w:rPr>
  </w:style>
  <w:style w:type="character" w:styleId="752" w:customStyle="1">
    <w:name w:val="Заголовок 2 Знак"/>
    <w:link w:val="728"/>
    <w:uiPriority w:val="9"/>
    <w:rPr>
      <w:rFonts w:ascii="Arial" w:hAnsi="Arial" w:eastAsia="Arial" w:cs="Arial"/>
      <w:sz w:val="34"/>
    </w:rPr>
  </w:style>
  <w:style w:type="character" w:styleId="753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54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55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56" w:customStyle="1">
    <w:name w:val="Заголовок 6 Знак"/>
    <w:link w:val="732"/>
    <w:uiPriority w:val="9"/>
    <w:rPr>
      <w:rFonts w:ascii="Arial" w:hAnsi="Arial" w:eastAsia="Arial" w:cs="Arial"/>
      <w:b/>
      <w:bCs/>
      <w:sz w:val="22"/>
      <w:szCs w:val="22"/>
    </w:rPr>
  </w:style>
  <w:style w:type="character" w:styleId="757" w:customStyle="1">
    <w:name w:val="Заголовок 7 Знак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8" w:customStyle="1">
    <w:name w:val="Заголовок 8 Знак"/>
    <w:link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59" w:customStyle="1">
    <w:name w:val="Заголовок 9 Знак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60">
    <w:name w:val="List Paragraph"/>
    <w:basedOn w:val="726"/>
    <w:uiPriority w:val="34"/>
    <w:qFormat/>
    <w:pPr>
      <w:contextualSpacing/>
      <w:ind w:left="720" w:right="1072" w:hanging="567"/>
      <w:jc w:val="both"/>
      <w:spacing w:before="120"/>
    </w:pPr>
    <w:rPr>
      <w:rFonts w:eastAsia="Calibri"/>
      <w:sz w:val="28"/>
      <w:szCs w:val="22"/>
      <w:lang w:eastAsia="en-US"/>
    </w:rPr>
  </w:style>
  <w:style w:type="paragraph" w:styleId="761">
    <w:name w:val="No Spacing"/>
    <w:uiPriority w:val="1"/>
    <w:qFormat/>
    <w:rPr>
      <w:lang w:eastAsia="zh-CN"/>
    </w:rPr>
  </w:style>
  <w:style w:type="paragraph" w:styleId="762">
    <w:name w:val="Title"/>
    <w:basedOn w:val="726"/>
    <w:next w:val="726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 w:customStyle="1">
    <w:name w:val="Название Знак"/>
    <w:link w:val="762"/>
    <w:uiPriority w:val="10"/>
    <w:rPr>
      <w:sz w:val="48"/>
      <w:szCs w:val="48"/>
    </w:rPr>
  </w:style>
  <w:style w:type="paragraph" w:styleId="764">
    <w:name w:val="Subtitle"/>
    <w:basedOn w:val="726"/>
    <w:next w:val="726"/>
    <w:link w:val="765"/>
    <w:uiPriority w:val="11"/>
    <w:qFormat/>
    <w:pPr>
      <w:spacing w:before="200" w:after="200"/>
    </w:pPr>
  </w:style>
  <w:style w:type="character" w:styleId="765" w:customStyle="1">
    <w:name w:val="Подзаголовок Знак"/>
    <w:link w:val="764"/>
    <w:uiPriority w:val="11"/>
    <w:rPr>
      <w:sz w:val="24"/>
      <w:szCs w:val="24"/>
    </w:rPr>
  </w:style>
  <w:style w:type="paragraph" w:styleId="766">
    <w:name w:val="Quote"/>
    <w:basedOn w:val="726"/>
    <w:next w:val="726"/>
    <w:link w:val="767"/>
    <w:uiPriority w:val="29"/>
    <w:qFormat/>
    <w:pPr>
      <w:ind w:left="720" w:right="720"/>
    </w:pPr>
    <w:rPr>
      <w:i/>
    </w:rPr>
  </w:style>
  <w:style w:type="character" w:styleId="767" w:customStyle="1">
    <w:name w:val="Цитата 2 Знак"/>
    <w:link w:val="766"/>
    <w:uiPriority w:val="29"/>
    <w:rPr>
      <w:i/>
    </w:rPr>
  </w:style>
  <w:style w:type="paragraph" w:styleId="768">
    <w:name w:val="Intense Quote"/>
    <w:basedOn w:val="726"/>
    <w:next w:val="726"/>
    <w:link w:val="7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 w:customStyle="1">
    <w:name w:val="Выделенная цитата Знак"/>
    <w:link w:val="768"/>
    <w:uiPriority w:val="30"/>
    <w:rPr>
      <w:i/>
    </w:rPr>
  </w:style>
  <w:style w:type="paragraph" w:styleId="770">
    <w:name w:val="Header"/>
    <w:basedOn w:val="726"/>
    <w:link w:val="923"/>
    <w:pPr>
      <w:tabs>
        <w:tab w:val="center" w:pos="4677" w:leader="none"/>
        <w:tab w:val="right" w:pos="9355" w:leader="none"/>
      </w:tabs>
    </w:pPr>
  </w:style>
  <w:style w:type="character" w:styleId="771" w:customStyle="1">
    <w:name w:val="Header Char"/>
    <w:uiPriority w:val="99"/>
  </w:style>
  <w:style w:type="paragraph" w:styleId="772">
    <w:name w:val="Footer"/>
    <w:basedOn w:val="726"/>
    <w:link w:val="924"/>
    <w:pPr>
      <w:tabs>
        <w:tab w:val="center" w:pos="4677" w:leader="none"/>
        <w:tab w:val="right" w:pos="9355" w:leader="none"/>
      </w:tabs>
    </w:pPr>
  </w:style>
  <w:style w:type="character" w:styleId="773" w:customStyle="1">
    <w:name w:val="Footer Char"/>
    <w:uiPriority w:val="99"/>
  </w:style>
  <w:style w:type="paragraph" w:styleId="774">
    <w:name w:val="Caption"/>
    <w:basedOn w:val="726"/>
    <w:next w:val="726"/>
    <w:link w:val="775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75" w:customStyle="1">
    <w:name w:val="Caption Char"/>
    <w:uiPriority w:val="99"/>
  </w:style>
  <w:style w:type="table" w:styleId="776">
    <w:name w:val="Table Grid"/>
    <w:basedOn w:val="737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02">
    <w:name w:val="Hyperlink"/>
    <w:rPr>
      <w:color w:val="0000ff"/>
      <w:u w:val="single"/>
    </w:rPr>
  </w:style>
  <w:style w:type="paragraph" w:styleId="903">
    <w:name w:val="footnote text"/>
    <w:basedOn w:val="726"/>
    <w:link w:val="904"/>
    <w:uiPriority w:val="99"/>
    <w:semiHidden/>
    <w:unhideWhenUsed/>
    <w:pPr>
      <w:spacing w:after="40"/>
    </w:pPr>
    <w:rPr>
      <w:sz w:val="18"/>
    </w:rPr>
  </w:style>
  <w:style w:type="character" w:styleId="904" w:customStyle="1">
    <w:name w:val="Текст сноски Знак"/>
    <w:link w:val="903"/>
    <w:uiPriority w:val="99"/>
    <w:rPr>
      <w:sz w:val="18"/>
    </w:rPr>
  </w:style>
  <w:style w:type="character" w:styleId="905">
    <w:name w:val="footnote reference"/>
    <w:rPr>
      <w:rFonts w:cs="Times New Roman"/>
      <w:vertAlign w:val="superscript"/>
    </w:rPr>
  </w:style>
  <w:style w:type="paragraph" w:styleId="906">
    <w:name w:val="endnote text"/>
    <w:basedOn w:val="726"/>
    <w:link w:val="907"/>
    <w:uiPriority w:val="99"/>
    <w:semiHidden/>
    <w:unhideWhenUsed/>
    <w:rPr>
      <w:sz w:val="20"/>
    </w:rPr>
  </w:style>
  <w:style w:type="character" w:styleId="907" w:customStyle="1">
    <w:name w:val="Текст концевой сноски Знак"/>
    <w:link w:val="906"/>
    <w:uiPriority w:val="99"/>
    <w:rPr>
      <w:sz w:val="20"/>
    </w:rPr>
  </w:style>
  <w:style w:type="character" w:styleId="908">
    <w:name w:val="endnote reference"/>
    <w:uiPriority w:val="99"/>
    <w:semiHidden/>
    <w:unhideWhenUsed/>
    <w:rPr>
      <w:vertAlign w:val="superscript"/>
    </w:rPr>
  </w:style>
  <w:style w:type="paragraph" w:styleId="909">
    <w:name w:val="toc 1"/>
    <w:basedOn w:val="726"/>
    <w:next w:val="726"/>
    <w:uiPriority w:val="39"/>
    <w:unhideWhenUsed/>
    <w:pPr>
      <w:spacing w:after="57"/>
    </w:pPr>
  </w:style>
  <w:style w:type="paragraph" w:styleId="910">
    <w:name w:val="toc 2"/>
    <w:basedOn w:val="726"/>
    <w:next w:val="726"/>
    <w:uiPriority w:val="39"/>
    <w:unhideWhenUsed/>
    <w:pPr>
      <w:ind w:left="283"/>
      <w:spacing w:after="57"/>
    </w:pPr>
  </w:style>
  <w:style w:type="paragraph" w:styleId="911">
    <w:name w:val="toc 3"/>
    <w:basedOn w:val="726"/>
    <w:next w:val="726"/>
    <w:uiPriority w:val="39"/>
    <w:unhideWhenUsed/>
    <w:pPr>
      <w:ind w:left="567"/>
      <w:spacing w:after="57"/>
    </w:pPr>
  </w:style>
  <w:style w:type="paragraph" w:styleId="912">
    <w:name w:val="toc 4"/>
    <w:basedOn w:val="726"/>
    <w:next w:val="726"/>
    <w:uiPriority w:val="39"/>
    <w:unhideWhenUsed/>
    <w:pPr>
      <w:ind w:left="850"/>
      <w:spacing w:after="57"/>
    </w:pPr>
  </w:style>
  <w:style w:type="paragraph" w:styleId="913">
    <w:name w:val="toc 5"/>
    <w:basedOn w:val="726"/>
    <w:next w:val="726"/>
    <w:uiPriority w:val="39"/>
    <w:unhideWhenUsed/>
    <w:pPr>
      <w:ind w:left="1134"/>
      <w:spacing w:after="57"/>
    </w:pPr>
  </w:style>
  <w:style w:type="paragraph" w:styleId="914">
    <w:name w:val="toc 6"/>
    <w:basedOn w:val="726"/>
    <w:next w:val="726"/>
    <w:uiPriority w:val="39"/>
    <w:unhideWhenUsed/>
    <w:pPr>
      <w:ind w:left="1417"/>
      <w:spacing w:after="57"/>
    </w:pPr>
  </w:style>
  <w:style w:type="paragraph" w:styleId="915">
    <w:name w:val="toc 7"/>
    <w:basedOn w:val="726"/>
    <w:next w:val="726"/>
    <w:uiPriority w:val="39"/>
    <w:unhideWhenUsed/>
    <w:pPr>
      <w:ind w:left="1701"/>
      <w:spacing w:after="57"/>
    </w:pPr>
  </w:style>
  <w:style w:type="paragraph" w:styleId="916">
    <w:name w:val="toc 8"/>
    <w:basedOn w:val="726"/>
    <w:next w:val="726"/>
    <w:uiPriority w:val="39"/>
    <w:unhideWhenUsed/>
    <w:pPr>
      <w:ind w:left="1984"/>
      <w:spacing w:after="57"/>
    </w:pPr>
  </w:style>
  <w:style w:type="paragraph" w:styleId="917">
    <w:name w:val="toc 9"/>
    <w:basedOn w:val="726"/>
    <w:next w:val="726"/>
    <w:uiPriority w:val="39"/>
    <w:unhideWhenUsed/>
    <w:pPr>
      <w:ind w:left="2268"/>
      <w:spacing w:after="57"/>
    </w:pPr>
  </w:style>
  <w:style w:type="paragraph" w:styleId="918">
    <w:name w:val="TOC Heading"/>
    <w:uiPriority w:val="39"/>
    <w:unhideWhenUsed/>
    <w:rPr>
      <w:lang w:eastAsia="zh-CN"/>
    </w:rPr>
  </w:style>
  <w:style w:type="paragraph" w:styleId="919">
    <w:name w:val="table of figures"/>
    <w:basedOn w:val="726"/>
    <w:next w:val="726"/>
    <w:uiPriority w:val="99"/>
    <w:unhideWhenUsed/>
  </w:style>
  <w:style w:type="paragraph" w:styleId="920">
    <w:name w:val="Balloon Text"/>
    <w:basedOn w:val="726"/>
    <w:semiHidden/>
    <w:rPr>
      <w:rFonts w:ascii="Tahoma" w:hAnsi="Tahoma" w:cs="Tahoma"/>
      <w:sz w:val="16"/>
      <w:szCs w:val="16"/>
    </w:rPr>
  </w:style>
  <w:style w:type="paragraph" w:styleId="921">
    <w:name w:val="Body Text"/>
    <w:basedOn w:val="726"/>
    <w:pPr>
      <w:jc w:val="both"/>
    </w:pPr>
    <w:rPr>
      <w:sz w:val="28"/>
      <w:szCs w:val="28"/>
    </w:rPr>
  </w:style>
  <w:style w:type="paragraph" w:styleId="922">
    <w:name w:val="Body Text Indent"/>
    <w:basedOn w:val="726"/>
    <w:pPr>
      <w:ind w:firstLine="360"/>
      <w:jc w:val="both"/>
    </w:pPr>
    <w:rPr>
      <w:sz w:val="28"/>
      <w:szCs w:val="28"/>
    </w:rPr>
  </w:style>
  <w:style w:type="character" w:styleId="923" w:customStyle="1">
    <w:name w:val="Верхний колонтитул Знак"/>
    <w:link w:val="770"/>
    <w:rPr>
      <w:rFonts w:eastAsia="Times New Roman"/>
      <w:sz w:val="24"/>
      <w:szCs w:val="24"/>
    </w:rPr>
  </w:style>
  <w:style w:type="character" w:styleId="924" w:customStyle="1">
    <w:name w:val="Нижний колонтитул Знак"/>
    <w:link w:val="772"/>
    <w:uiPriority w:val="99"/>
    <w:rPr>
      <w:rFonts w:eastAsia="Times New Roman"/>
      <w:sz w:val="24"/>
      <w:szCs w:val="24"/>
    </w:rPr>
  </w:style>
  <w:style w:type="character" w:styleId="925" w:customStyle="1">
    <w:name w:val="postal-code"/>
  </w:style>
  <w:style w:type="character" w:styleId="926" w:customStyle="1">
    <w:name w:val="country-name"/>
  </w:style>
  <w:style w:type="character" w:styleId="927" w:customStyle="1">
    <w:name w:val="locality"/>
  </w:style>
  <w:style w:type="character" w:styleId="928" w:customStyle="1">
    <w:name w:val="street-address"/>
  </w:style>
  <w:style w:type="paragraph" w:styleId="929">
    <w:name w:val="Normal (Web)"/>
    <w:basedOn w:val="726"/>
    <w:pPr>
      <w:spacing w:before="100" w:beforeAutospacing="1" w:after="100" w:afterAutospacing="1"/>
    </w:pPr>
  </w:style>
  <w:style w:type="character" w:styleId="930">
    <w:name w:val="Strong"/>
    <w:qFormat/>
    <w:rPr>
      <w:b/>
      <w:bCs/>
    </w:rPr>
  </w:style>
  <w:style w:type="character" w:styleId="931" w:customStyle="1">
    <w:name w:val="Заголовок 3 Знак"/>
    <w:link w:val="729"/>
    <w:rPr>
      <w:rFonts w:ascii="Tahoma" w:hAnsi="Tahoma" w:eastAsia="Times New Roman"/>
      <w:b/>
      <w:sz w:val="28"/>
    </w:rPr>
  </w:style>
  <w:style w:type="character" w:styleId="932" w:customStyle="1">
    <w:name w:val="Заголовок 4 Знак"/>
    <w:link w:val="730"/>
    <w:rPr>
      <w:rFonts w:eastAsia="Times New Roman"/>
      <w:b/>
      <w:sz w:val="28"/>
    </w:rPr>
  </w:style>
  <w:style w:type="paragraph" w:styleId="933" w:customStyle="1">
    <w:name w:val="Знак"/>
    <w:basedOn w:val="72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34" w:customStyle="1">
    <w:name w:val="Заголовок 5 Знак"/>
    <w:link w:val="731"/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935" w:customStyle="1">
    <w:name w:val="Пункт-3"/>
    <w:basedOn w:val="726"/>
    <w:pPr>
      <w:jc w:val="both"/>
      <w:spacing w:line="360" w:lineRule="auto"/>
      <w:tabs>
        <w:tab w:val="num" w:pos="1701" w:leader="none"/>
      </w:tabs>
    </w:pPr>
    <w:rPr>
      <w:sz w:val="28"/>
      <w:szCs w:val="20"/>
    </w:rPr>
  </w:style>
  <w:style w:type="paragraph" w:styleId="936" w:customStyle="1">
    <w:name w:val="p8"/>
    <w:basedOn w:val="726"/>
    <w:pPr>
      <w:spacing w:before="100" w:beforeAutospacing="1" w:after="100" w:afterAutospacing="1"/>
    </w:pPr>
  </w:style>
  <w:style w:type="character" w:styleId="937" w:customStyle="1">
    <w:name w:val="s1"/>
  </w:style>
  <w:style w:type="paragraph" w:styleId="938" w:customStyle="1">
    <w:name w:val="p12"/>
    <w:basedOn w:val="726"/>
    <w:pPr>
      <w:spacing w:before="100" w:beforeAutospacing="1" w:after="100" w:afterAutospacing="1"/>
    </w:pPr>
  </w:style>
  <w:style w:type="character" w:styleId="939" w:customStyle="1">
    <w:name w:val="s6"/>
  </w:style>
  <w:style w:type="paragraph" w:styleId="940" w:customStyle="1">
    <w:name w:val="p4"/>
    <w:basedOn w:val="726"/>
    <w:pPr>
      <w:spacing w:before="100" w:beforeAutospacing="1" w:after="100" w:afterAutospacing="1"/>
    </w:pPr>
  </w:style>
  <w:style w:type="paragraph" w:styleId="941" w:customStyle="1">
    <w:name w:val="p28"/>
    <w:basedOn w:val="726"/>
    <w:pPr>
      <w:spacing w:before="100" w:beforeAutospacing="1" w:after="100" w:afterAutospacing="1"/>
    </w:pPr>
  </w:style>
  <w:style w:type="paragraph" w:styleId="942" w:customStyle="1">
    <w:name w:val="ConsPlusNormal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СО-ЦДУ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Лапшенкова Е.В.</dc:creator>
  <cp:lastModifiedBy>Zakirova-SM</cp:lastModifiedBy>
  <cp:revision>9</cp:revision>
  <dcterms:created xsi:type="dcterms:W3CDTF">2024-11-08T06:27:00Z</dcterms:created>
  <dcterms:modified xsi:type="dcterms:W3CDTF">2025-11-28T12:31:22Z</dcterms:modified>
  <cp:version>1048576</cp:version>
</cp:coreProperties>
</file>